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0C7" w:rsidRPr="009A3F78" w:rsidRDefault="00E70E8E" w:rsidP="009A3F78">
      <w:pPr>
        <w:pStyle w:val="Paragrafoelenco"/>
        <w:numPr>
          <w:ilvl w:val="0"/>
          <w:numId w:val="1"/>
        </w:numPr>
        <w:jc w:val="both"/>
        <w:rPr>
          <w:rFonts w:ascii="Times New Roman" w:hAnsi="Times New Roman" w:cs="Times New Roman"/>
          <w:b/>
          <w:sz w:val="24"/>
          <w:szCs w:val="24"/>
        </w:rPr>
      </w:pPr>
      <w:r w:rsidRPr="009A3F78">
        <w:rPr>
          <w:rFonts w:ascii="Times New Roman" w:hAnsi="Times New Roman" w:cs="Times New Roman"/>
          <w:b/>
          <w:sz w:val="24"/>
          <w:szCs w:val="24"/>
        </w:rPr>
        <w:t xml:space="preserve">Il </w:t>
      </w:r>
      <w:r w:rsidR="007128DF" w:rsidRPr="009A3F78">
        <w:rPr>
          <w:rFonts w:ascii="Times New Roman" w:hAnsi="Times New Roman" w:cs="Times New Roman"/>
          <w:b/>
          <w:sz w:val="24"/>
          <w:szCs w:val="24"/>
        </w:rPr>
        <w:t>candidato, avvalendosi anche  dei testi</w:t>
      </w:r>
      <w:r w:rsidR="009A3F78">
        <w:rPr>
          <w:rFonts w:ascii="Times New Roman" w:hAnsi="Times New Roman" w:cs="Times New Roman"/>
          <w:b/>
          <w:sz w:val="24"/>
          <w:szCs w:val="24"/>
        </w:rPr>
        <w:t xml:space="preserve"> seguenti</w:t>
      </w:r>
      <w:r w:rsidR="007128DF" w:rsidRPr="009A3F78">
        <w:rPr>
          <w:rFonts w:ascii="Times New Roman" w:hAnsi="Times New Roman" w:cs="Times New Roman"/>
          <w:b/>
          <w:sz w:val="24"/>
          <w:szCs w:val="24"/>
        </w:rPr>
        <w:t xml:space="preserve">, </w:t>
      </w:r>
      <w:r w:rsidRPr="009A3F78">
        <w:rPr>
          <w:rFonts w:ascii="Times New Roman" w:hAnsi="Times New Roman" w:cs="Times New Roman"/>
          <w:b/>
          <w:sz w:val="24"/>
          <w:szCs w:val="24"/>
        </w:rPr>
        <w:t>rifletta sul tema della globalizzazione, del significato culturale</w:t>
      </w:r>
      <w:r w:rsidR="007128DF" w:rsidRPr="009A3F78">
        <w:rPr>
          <w:rFonts w:ascii="Times New Roman" w:hAnsi="Times New Roman" w:cs="Times New Roman"/>
          <w:b/>
          <w:sz w:val="24"/>
          <w:szCs w:val="24"/>
        </w:rPr>
        <w:t xml:space="preserve"> e sociale della globalizzazione, </w:t>
      </w:r>
      <w:r w:rsidRPr="009A3F78">
        <w:rPr>
          <w:rFonts w:ascii="Times New Roman" w:hAnsi="Times New Roman" w:cs="Times New Roman"/>
          <w:b/>
          <w:sz w:val="24"/>
          <w:szCs w:val="24"/>
        </w:rPr>
        <w:t xml:space="preserve">del significato del lavoro oggi, </w:t>
      </w:r>
      <w:r w:rsidR="007128DF" w:rsidRPr="009A3F78">
        <w:rPr>
          <w:rFonts w:ascii="Times New Roman" w:hAnsi="Times New Roman" w:cs="Times New Roman"/>
          <w:b/>
          <w:sz w:val="24"/>
          <w:szCs w:val="24"/>
        </w:rPr>
        <w:t>delle conseguenze della globalizzazione nella vita privata.</w:t>
      </w:r>
    </w:p>
    <w:p w:rsidR="00E04C7B" w:rsidRPr="009A3F78" w:rsidRDefault="00E04C7B" w:rsidP="009A3F78">
      <w:pPr>
        <w:pStyle w:val="Paragrafoelenco"/>
        <w:numPr>
          <w:ilvl w:val="0"/>
          <w:numId w:val="2"/>
        </w:numPr>
        <w:jc w:val="both"/>
        <w:rPr>
          <w:rFonts w:ascii="Times New Roman" w:hAnsi="Times New Roman" w:cs="Times New Roman"/>
          <w:sz w:val="24"/>
          <w:szCs w:val="24"/>
        </w:rPr>
      </w:pPr>
      <w:r w:rsidRPr="009A3F78">
        <w:rPr>
          <w:rFonts w:ascii="Times New Roman" w:hAnsi="Times New Roman" w:cs="Times New Roman"/>
          <w:sz w:val="24"/>
          <w:szCs w:val="24"/>
        </w:rPr>
        <w:t>«Quali sono […] le condizioni ineludibili della globalizzazione? Che cosa devono fare aziende, paesi o regioni di ogni parte del mondo, se non vogliono condannarsi all’arretratezza e alla povertà? Gli attori economici hanno bisogno soprattutto di “flessibilità”, per usare una parola oggi di moda»</w:t>
      </w:r>
    </w:p>
    <w:p w:rsidR="007128DF" w:rsidRPr="009A3F78" w:rsidRDefault="007128DF" w:rsidP="009A3F78">
      <w:pPr>
        <w:pStyle w:val="Paragrafoelenco"/>
        <w:ind w:firstLine="360"/>
        <w:jc w:val="both"/>
        <w:rPr>
          <w:rFonts w:ascii="Times New Roman" w:hAnsi="Times New Roman" w:cs="Times New Roman"/>
          <w:sz w:val="24"/>
          <w:szCs w:val="24"/>
        </w:rPr>
      </w:pPr>
      <w:r w:rsidRPr="009A3F78">
        <w:rPr>
          <w:rFonts w:ascii="Times New Roman" w:hAnsi="Times New Roman" w:cs="Times New Roman"/>
          <w:sz w:val="24"/>
          <w:szCs w:val="24"/>
        </w:rPr>
        <w:t>[…]</w:t>
      </w:r>
    </w:p>
    <w:p w:rsidR="007128DF" w:rsidRPr="009A3F78" w:rsidRDefault="00E04C7B" w:rsidP="009A3F78">
      <w:pPr>
        <w:pStyle w:val="Paragrafoelenco"/>
        <w:ind w:left="1080"/>
        <w:jc w:val="both"/>
        <w:rPr>
          <w:rFonts w:ascii="Times New Roman" w:hAnsi="Times New Roman" w:cs="Times New Roman"/>
          <w:sz w:val="24"/>
          <w:szCs w:val="24"/>
        </w:rPr>
      </w:pPr>
      <w:r w:rsidRPr="009A3F78">
        <w:rPr>
          <w:rFonts w:ascii="Times New Roman" w:hAnsi="Times New Roman" w:cs="Times New Roman"/>
          <w:sz w:val="24"/>
          <w:szCs w:val="24"/>
        </w:rPr>
        <w:t>Flessibilità significa in primo luogo eliminazione delle rigidità: quindi due fattori che generalmente contribuiscono a crearla sono la deregulation e la limitazione delle interferenze governative; molti vi includerebbero anche l’alleggerimento del peso fiscale su aziende e individui. Il termine flessibilità ha finito per indicare soprattutto allentamento dei vincoli che gravano sul mercato del lavoro: maggiore facilità nell’assumere e nel licenziare, possibilità di aumentare e diminuire i salari, espansione degli impieghi part-time e a termine, cambiamento più frequente d</w:t>
      </w:r>
      <w:r w:rsidR="007128DF" w:rsidRPr="009A3F78">
        <w:rPr>
          <w:rFonts w:ascii="Times New Roman" w:hAnsi="Times New Roman" w:cs="Times New Roman"/>
          <w:sz w:val="24"/>
          <w:szCs w:val="24"/>
        </w:rPr>
        <w:t>i lavoro, di azienda e di sede. […]</w:t>
      </w:r>
    </w:p>
    <w:p w:rsidR="007128DF" w:rsidRPr="009A3F78" w:rsidRDefault="00A810C7" w:rsidP="009A3F78">
      <w:pPr>
        <w:pStyle w:val="Paragrafoelenco"/>
        <w:ind w:left="1080"/>
        <w:jc w:val="both"/>
        <w:rPr>
          <w:rFonts w:ascii="Times New Roman" w:hAnsi="Times New Roman" w:cs="Times New Roman"/>
          <w:sz w:val="24"/>
          <w:szCs w:val="24"/>
        </w:rPr>
      </w:pPr>
      <w:r w:rsidRPr="009A3F78">
        <w:rPr>
          <w:rFonts w:ascii="Times New Roman" w:hAnsi="Times New Roman" w:cs="Times New Roman"/>
          <w:sz w:val="24"/>
          <w:szCs w:val="24"/>
        </w:rPr>
        <w:t>La globalizzazione economica porta con sé anche un altro complesso di questioni sociali. È stata menzionata l’ambivalenza della flessibilità: essa può essere l’altra faccia della rigidità, ma è anche il contrario della stabilità e della sicurezza; e si può discutere a lungo fino a che punto queste ultime siano precondizioni della società civile</w:t>
      </w:r>
      <w:r w:rsidR="007128DF" w:rsidRPr="009A3F78">
        <w:rPr>
          <w:rFonts w:ascii="Times New Roman" w:hAnsi="Times New Roman" w:cs="Times New Roman"/>
          <w:sz w:val="24"/>
          <w:szCs w:val="24"/>
        </w:rPr>
        <w:t>.</w:t>
      </w:r>
    </w:p>
    <w:p w:rsidR="007128DF" w:rsidRPr="009A3F78" w:rsidRDefault="009A3F78" w:rsidP="009A3F78">
      <w:pPr>
        <w:pStyle w:val="Paragrafoelenco"/>
        <w:ind w:left="1080"/>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Dahrendorf</w:t>
      </w:r>
      <w:proofErr w:type="spellEnd"/>
      <w:r>
        <w:rPr>
          <w:rFonts w:ascii="Times New Roman" w:hAnsi="Times New Roman" w:cs="Times New Roman"/>
          <w:sz w:val="24"/>
          <w:szCs w:val="24"/>
        </w:rPr>
        <w:t xml:space="preserve">, </w:t>
      </w:r>
      <w:r w:rsidR="007128DF" w:rsidRPr="009A3F78">
        <w:rPr>
          <w:rFonts w:ascii="Times New Roman" w:hAnsi="Times New Roman" w:cs="Times New Roman"/>
          <w:sz w:val="24"/>
          <w:szCs w:val="24"/>
        </w:rPr>
        <w:t>1995)</w:t>
      </w:r>
    </w:p>
    <w:p w:rsidR="00A810C7" w:rsidRPr="009A3F78" w:rsidRDefault="00A810C7" w:rsidP="009A3F78">
      <w:pPr>
        <w:jc w:val="both"/>
        <w:rPr>
          <w:rFonts w:ascii="Times New Roman" w:hAnsi="Times New Roman" w:cs="Times New Roman"/>
          <w:sz w:val="24"/>
          <w:szCs w:val="24"/>
        </w:rPr>
      </w:pPr>
    </w:p>
    <w:p w:rsidR="00A810C7" w:rsidRPr="009A3F78" w:rsidRDefault="00A810C7" w:rsidP="009A3F78">
      <w:pPr>
        <w:pStyle w:val="Paragrafoelenco"/>
        <w:numPr>
          <w:ilvl w:val="0"/>
          <w:numId w:val="2"/>
        </w:numPr>
        <w:jc w:val="both"/>
        <w:rPr>
          <w:rFonts w:ascii="Times New Roman" w:hAnsi="Times New Roman" w:cs="Times New Roman"/>
          <w:i/>
          <w:sz w:val="24"/>
          <w:szCs w:val="24"/>
        </w:rPr>
      </w:pPr>
      <w:r w:rsidRPr="009A3F78">
        <w:rPr>
          <w:rFonts w:ascii="Times New Roman" w:hAnsi="Times New Roman" w:cs="Times New Roman"/>
          <w:sz w:val="24"/>
          <w:szCs w:val="24"/>
        </w:rPr>
        <w:t>È opinione diffusa tra cittadini ed élite dei paesi capitalisti avanzati che la globalizzazione eserciti formidabili pressioni sul funzionamento dei mercati del lavoro e sui sistemi di protezione sociale dei loro paesi. Essa ridurrebbe significativamente le capacità di regolazione del mercato da parte degli stati nazionali, che addirittura verrebbero, a dar credito ad alcuni commentatori, relegati ai manuali di storia. Non intendo qui discutere quest’ultima «apocalittica» visione della globalizzazione, che pure accomuna pensatori di ben diversi orientamenti politici. Mi interessa piuttosto rilevare che la percezione comune della globalizzazione come causa di tensioni nei mercati del lavoro e nel welfare state genera due reazioni nella comunità politica. La prima reazione coinvolge la necessità urgente di riformare in senso restrittivo i sistemi di protezione sociale nei paesi capitalisti avanzati e di modificare radicalmente gli assetti regolativi dei loro mercati del lavoro. La seconda consiste nel rifiuto della globalizzazione tout court.</w:t>
      </w:r>
      <w:r w:rsidR="007128DF" w:rsidRPr="009A3F78">
        <w:rPr>
          <w:rFonts w:ascii="Times New Roman" w:hAnsi="Times New Roman" w:cs="Times New Roman"/>
          <w:sz w:val="24"/>
          <w:szCs w:val="24"/>
        </w:rPr>
        <w:t xml:space="preserve"> </w:t>
      </w:r>
      <w:r w:rsidR="00390401" w:rsidRPr="009A3F78">
        <w:rPr>
          <w:rFonts w:ascii="Times New Roman" w:hAnsi="Times New Roman" w:cs="Times New Roman"/>
          <w:sz w:val="24"/>
          <w:szCs w:val="24"/>
        </w:rPr>
        <w:t>(</w:t>
      </w:r>
      <w:r w:rsidR="007128DF" w:rsidRPr="009A3F78">
        <w:rPr>
          <w:rFonts w:ascii="Times New Roman" w:hAnsi="Times New Roman" w:cs="Times New Roman"/>
          <w:sz w:val="24"/>
          <w:szCs w:val="24"/>
        </w:rPr>
        <w:t>S</w:t>
      </w:r>
      <w:r w:rsidR="009A3F78">
        <w:rPr>
          <w:rFonts w:ascii="Times New Roman" w:hAnsi="Times New Roman" w:cs="Times New Roman"/>
          <w:sz w:val="24"/>
          <w:szCs w:val="24"/>
        </w:rPr>
        <w:t>tefano Sacchi,</w:t>
      </w:r>
      <w:r w:rsidR="009A3F78">
        <w:rPr>
          <w:rFonts w:ascii="Times New Roman" w:hAnsi="Times New Roman" w:cs="Times New Roman"/>
          <w:i/>
          <w:sz w:val="24"/>
          <w:szCs w:val="24"/>
        </w:rPr>
        <w:t xml:space="preserve"> </w:t>
      </w:r>
      <w:r w:rsidR="00390401" w:rsidRPr="009A3F78">
        <w:rPr>
          <w:rFonts w:ascii="Times New Roman" w:hAnsi="Times New Roman" w:cs="Times New Roman"/>
          <w:i/>
          <w:sz w:val="24"/>
          <w:szCs w:val="24"/>
        </w:rPr>
        <w:t>Mercati del lavoro e welfare state: che cosa la globalizzazione (non) implica)</w:t>
      </w:r>
    </w:p>
    <w:p w:rsidR="009A3F78" w:rsidRPr="009A3F78" w:rsidRDefault="009A3F78" w:rsidP="009A3F78">
      <w:pPr>
        <w:pStyle w:val="Paragrafoelenco"/>
        <w:jc w:val="both"/>
        <w:rPr>
          <w:rFonts w:ascii="Times New Roman" w:hAnsi="Times New Roman" w:cs="Times New Roman"/>
          <w:sz w:val="24"/>
          <w:szCs w:val="24"/>
        </w:rPr>
      </w:pPr>
    </w:p>
    <w:p w:rsidR="005C2B5B" w:rsidRPr="009A3F78" w:rsidRDefault="007128DF" w:rsidP="009A3F78">
      <w:pPr>
        <w:pStyle w:val="Paragrafoelenco"/>
        <w:numPr>
          <w:ilvl w:val="0"/>
          <w:numId w:val="2"/>
        </w:numPr>
        <w:jc w:val="both"/>
        <w:rPr>
          <w:rFonts w:ascii="Times New Roman" w:hAnsi="Times New Roman" w:cs="Times New Roman"/>
          <w:sz w:val="24"/>
          <w:szCs w:val="24"/>
        </w:rPr>
      </w:pPr>
      <w:r w:rsidRPr="009A3F78">
        <w:rPr>
          <w:rFonts w:ascii="Times New Roman" w:hAnsi="Times New Roman" w:cs="Times New Roman"/>
          <w:sz w:val="24"/>
          <w:szCs w:val="24"/>
        </w:rPr>
        <w:t xml:space="preserve">Le </w:t>
      </w:r>
      <w:r w:rsidR="00A810C7" w:rsidRPr="009A3F78">
        <w:rPr>
          <w:rFonts w:ascii="Times New Roman" w:hAnsi="Times New Roman" w:cs="Times New Roman"/>
          <w:sz w:val="24"/>
          <w:szCs w:val="24"/>
        </w:rPr>
        <w:t xml:space="preserve"> trasformazioni delle strutture familiari riguardano principalmente l’aumento di single e genitori soli e delle famiglie a doppio reddito. Per quanto concerne i primi, nel corso degli ultimi 20 anni è stata registrata una significativa riduzione dell’ampiezza dei nuclei familiari. Il calo delle nascite e l’aumento di separazioni e divorzi hanno comportato un dimezzamento in tutti i paesi delle situazioni familiari composte da 4 o più soggetti e al corrispettivo incremento dei nuclei familiari composte da un solo individuo o da due al massimo (</w:t>
      </w:r>
      <w:proofErr w:type="spellStart"/>
      <w:r w:rsidR="00A810C7" w:rsidRPr="009A3F78">
        <w:rPr>
          <w:rFonts w:ascii="Times New Roman" w:hAnsi="Times New Roman" w:cs="Times New Roman"/>
          <w:sz w:val="24"/>
          <w:szCs w:val="24"/>
        </w:rPr>
        <w:t>Oecd</w:t>
      </w:r>
      <w:proofErr w:type="spellEnd"/>
      <w:r w:rsidR="00A810C7" w:rsidRPr="009A3F78">
        <w:rPr>
          <w:rFonts w:ascii="Times New Roman" w:hAnsi="Times New Roman" w:cs="Times New Roman"/>
          <w:sz w:val="24"/>
          <w:szCs w:val="24"/>
        </w:rPr>
        <w:t xml:space="preserve"> 2011). Tali trasformazioni sono importanti nel calcolo dei rischi di </w:t>
      </w:r>
      <w:r w:rsidR="00A810C7" w:rsidRPr="009A3F78">
        <w:rPr>
          <w:rFonts w:ascii="Times New Roman" w:hAnsi="Times New Roman" w:cs="Times New Roman"/>
          <w:sz w:val="24"/>
          <w:szCs w:val="24"/>
        </w:rPr>
        <w:lastRenderedPageBreak/>
        <w:t xml:space="preserve">povertà perché influenzano il peso del denominatore nel calcolo del reddito familiare equivalente. </w:t>
      </w:r>
    </w:p>
    <w:p w:rsidR="009A3F78" w:rsidRDefault="005C2B5B" w:rsidP="009A3F78">
      <w:pPr>
        <w:pStyle w:val="Paragrafoelenco"/>
        <w:jc w:val="both"/>
        <w:rPr>
          <w:rFonts w:ascii="Times New Roman" w:hAnsi="Times New Roman" w:cs="Times New Roman"/>
          <w:sz w:val="24"/>
          <w:szCs w:val="24"/>
        </w:rPr>
      </w:pPr>
      <w:r w:rsidRPr="009A3F78">
        <w:rPr>
          <w:rFonts w:ascii="Times New Roman" w:hAnsi="Times New Roman" w:cs="Times New Roman"/>
          <w:sz w:val="24"/>
          <w:szCs w:val="24"/>
        </w:rPr>
        <w:t>[…]</w:t>
      </w:r>
      <w:r w:rsidR="009A3F78">
        <w:rPr>
          <w:rFonts w:ascii="Times New Roman" w:hAnsi="Times New Roman" w:cs="Times New Roman"/>
          <w:sz w:val="24"/>
          <w:szCs w:val="24"/>
        </w:rPr>
        <w:t xml:space="preserve"> </w:t>
      </w:r>
      <w:r w:rsidR="00A810C7" w:rsidRPr="009A3F78">
        <w:rPr>
          <w:rFonts w:ascii="Times New Roman" w:hAnsi="Times New Roman" w:cs="Times New Roman"/>
          <w:sz w:val="24"/>
          <w:szCs w:val="24"/>
        </w:rPr>
        <w:t xml:space="preserve">La situazione è chiaramente più rischiosa per le famiglie composte da un solo adulto con figli e per i single, i quali, in caso di perdita della propria posizione lavorativa, possono contare solo sul supporto del sistema di protezione sociale o delle reti informali e della famiglia di </w:t>
      </w:r>
      <w:r w:rsidR="007128DF" w:rsidRPr="009A3F78">
        <w:rPr>
          <w:rFonts w:ascii="Times New Roman" w:hAnsi="Times New Roman" w:cs="Times New Roman"/>
          <w:sz w:val="24"/>
          <w:szCs w:val="24"/>
        </w:rPr>
        <w:t>origine</w:t>
      </w:r>
      <w:r w:rsidR="00A810C7" w:rsidRPr="009A3F78">
        <w:rPr>
          <w:rFonts w:ascii="Times New Roman" w:hAnsi="Times New Roman" w:cs="Times New Roman"/>
          <w:sz w:val="24"/>
          <w:szCs w:val="24"/>
        </w:rPr>
        <w:t>. A livello teorico, una ipotetica società completamente “atomizzata” presenta maggiori rischi di povertà rispetto a un’ipotetica società dove tutti convivono con almeno un altro familiare adulto (</w:t>
      </w:r>
      <w:proofErr w:type="spellStart"/>
      <w:r w:rsidR="00A810C7" w:rsidRPr="009A3F78">
        <w:rPr>
          <w:rFonts w:ascii="Times New Roman" w:hAnsi="Times New Roman" w:cs="Times New Roman"/>
          <w:sz w:val="24"/>
          <w:szCs w:val="24"/>
        </w:rPr>
        <w:t>Burtless</w:t>
      </w:r>
      <w:proofErr w:type="spellEnd"/>
      <w:r w:rsidR="00A810C7" w:rsidRPr="009A3F78">
        <w:rPr>
          <w:rFonts w:ascii="Times New Roman" w:hAnsi="Times New Roman" w:cs="Times New Roman"/>
          <w:sz w:val="24"/>
          <w:szCs w:val="24"/>
        </w:rPr>
        <w:t xml:space="preserve"> 2009). La riduzione dell’ampiezza dei nuclei familiari è alimentata da due fenomeni demografici, calo delle nascite e aumento dell’instabilità coniugale, che hanno effetti diametralmente opposti sul rischio di povertà. Infatti, la riduzione delle nascite è generalmente vista come un inibitore dei rischi di povertà poiché comporta una contrazione dei componenti inattivi entro i nuclei familiari, vale a dire di coloro che innalzano il livello dei bisogni di un nucleo senza poter contribuire personalmente al reddito familiare. D’altra parte l’innalzamento dell’instabilità coniugale e la crescita della proporzione di 6 bambini nati fuori dal matrimonio spingono in direzione opposta poiché sono positivamente correlati alla diffusione di condizioni familiari fragili, come nel caso delle persone che vivono da sole o le madri sole. </w:t>
      </w:r>
    </w:p>
    <w:p w:rsidR="007128DF" w:rsidRPr="009A3F78" w:rsidRDefault="005C2B5B" w:rsidP="009A3F78">
      <w:pPr>
        <w:pStyle w:val="Paragrafoelenco"/>
        <w:jc w:val="both"/>
        <w:rPr>
          <w:rFonts w:ascii="Times New Roman" w:hAnsi="Times New Roman" w:cs="Times New Roman"/>
          <w:sz w:val="24"/>
          <w:szCs w:val="24"/>
        </w:rPr>
      </w:pPr>
      <w:r w:rsidRPr="009A3F78">
        <w:rPr>
          <w:rFonts w:ascii="Times New Roman" w:hAnsi="Times New Roman" w:cs="Times New Roman"/>
          <w:sz w:val="24"/>
          <w:szCs w:val="24"/>
        </w:rPr>
        <w:t>(</w:t>
      </w:r>
      <w:r w:rsidR="009A3F78" w:rsidRPr="009A3F78">
        <w:rPr>
          <w:rFonts w:ascii="Times New Roman" w:hAnsi="Times New Roman" w:cs="Times New Roman"/>
          <w:sz w:val="24"/>
          <w:szCs w:val="24"/>
        </w:rPr>
        <w:t xml:space="preserve">Rossella </w:t>
      </w:r>
      <w:proofErr w:type="spellStart"/>
      <w:r w:rsidR="009A3F78" w:rsidRPr="009A3F78">
        <w:rPr>
          <w:rFonts w:ascii="Times New Roman" w:hAnsi="Times New Roman" w:cs="Times New Roman"/>
          <w:sz w:val="24"/>
          <w:szCs w:val="24"/>
        </w:rPr>
        <w:t>Bozzon</w:t>
      </w:r>
      <w:proofErr w:type="spellEnd"/>
      <w:r w:rsidR="009A3F78" w:rsidRPr="009A3F78">
        <w:rPr>
          <w:rFonts w:ascii="Times New Roman" w:hAnsi="Times New Roman" w:cs="Times New Roman"/>
          <w:sz w:val="24"/>
          <w:szCs w:val="24"/>
        </w:rPr>
        <w:t xml:space="preserve">, Raffaele </w:t>
      </w:r>
      <w:proofErr w:type="spellStart"/>
      <w:r w:rsidR="009A3F78" w:rsidRPr="009A3F78">
        <w:rPr>
          <w:rFonts w:ascii="Times New Roman" w:hAnsi="Times New Roman" w:cs="Times New Roman"/>
          <w:sz w:val="24"/>
          <w:szCs w:val="24"/>
        </w:rPr>
        <w:t>Guetto</w:t>
      </w:r>
      <w:proofErr w:type="spellEnd"/>
      <w:r w:rsidR="009A3F78" w:rsidRPr="009A3F78">
        <w:rPr>
          <w:rFonts w:ascii="Times New Roman" w:hAnsi="Times New Roman" w:cs="Times New Roman"/>
          <w:sz w:val="24"/>
          <w:szCs w:val="24"/>
        </w:rPr>
        <w:t xml:space="preserve">, Stefani </w:t>
      </w:r>
      <w:proofErr w:type="spellStart"/>
      <w:r w:rsidR="009A3F78" w:rsidRPr="009A3F78">
        <w:rPr>
          <w:rFonts w:ascii="Times New Roman" w:hAnsi="Times New Roman" w:cs="Times New Roman"/>
          <w:sz w:val="24"/>
          <w:szCs w:val="24"/>
        </w:rPr>
        <w:t>Scherer</w:t>
      </w:r>
      <w:proofErr w:type="spellEnd"/>
      <w:r w:rsidR="009A3F78">
        <w:rPr>
          <w:rFonts w:ascii="Times New Roman" w:hAnsi="Times New Roman" w:cs="Times New Roman"/>
          <w:sz w:val="24"/>
          <w:szCs w:val="24"/>
        </w:rPr>
        <w:t>,</w:t>
      </w:r>
      <w:r w:rsidR="009A3F78" w:rsidRPr="009A3F78">
        <w:rPr>
          <w:rFonts w:ascii="Times New Roman" w:hAnsi="Times New Roman" w:cs="Times New Roman"/>
          <w:i/>
          <w:sz w:val="24"/>
          <w:szCs w:val="24"/>
        </w:rPr>
        <w:t xml:space="preserve"> </w:t>
      </w:r>
      <w:r w:rsidR="00A810C7" w:rsidRPr="009A3F78">
        <w:rPr>
          <w:rFonts w:ascii="Times New Roman" w:hAnsi="Times New Roman" w:cs="Times New Roman"/>
          <w:i/>
          <w:sz w:val="24"/>
          <w:szCs w:val="24"/>
        </w:rPr>
        <w:t>Strutture familiari e rischi di povertà in Europa</w:t>
      </w:r>
      <w:r w:rsidR="009A3F78">
        <w:rPr>
          <w:rFonts w:ascii="Times New Roman" w:hAnsi="Times New Roman" w:cs="Times New Roman"/>
          <w:sz w:val="24"/>
          <w:szCs w:val="24"/>
        </w:rPr>
        <w:t>,</w:t>
      </w:r>
      <w:r w:rsidR="007128DF" w:rsidRPr="009A3F78">
        <w:rPr>
          <w:rFonts w:ascii="Times New Roman" w:hAnsi="Times New Roman" w:cs="Times New Roman"/>
          <w:sz w:val="24"/>
          <w:szCs w:val="24"/>
        </w:rPr>
        <w:t xml:space="preserve"> 2015</w:t>
      </w:r>
      <w:r w:rsidRPr="009A3F78">
        <w:rPr>
          <w:rFonts w:ascii="Times New Roman" w:hAnsi="Times New Roman" w:cs="Times New Roman"/>
          <w:sz w:val="24"/>
          <w:szCs w:val="24"/>
        </w:rPr>
        <w:t>)</w:t>
      </w:r>
    </w:p>
    <w:p w:rsidR="00A810C7" w:rsidRPr="009A3F78" w:rsidRDefault="00A810C7" w:rsidP="009A3F78">
      <w:pPr>
        <w:jc w:val="both"/>
        <w:rPr>
          <w:rFonts w:ascii="Times New Roman" w:hAnsi="Times New Roman" w:cs="Times New Roman"/>
          <w:sz w:val="24"/>
          <w:szCs w:val="24"/>
        </w:rPr>
      </w:pPr>
    </w:p>
    <w:p w:rsidR="00E70E8E" w:rsidRPr="009A3F78" w:rsidRDefault="005C2B5B" w:rsidP="009A3F78">
      <w:pPr>
        <w:jc w:val="both"/>
        <w:rPr>
          <w:rFonts w:ascii="Times New Roman" w:hAnsi="Times New Roman" w:cs="Times New Roman"/>
          <w:b/>
          <w:sz w:val="24"/>
          <w:szCs w:val="24"/>
        </w:rPr>
      </w:pPr>
      <w:r w:rsidRPr="009A3F78">
        <w:rPr>
          <w:rFonts w:ascii="Times New Roman" w:hAnsi="Times New Roman" w:cs="Times New Roman"/>
          <w:b/>
          <w:sz w:val="24"/>
          <w:szCs w:val="24"/>
        </w:rPr>
        <w:t>2. Il candidato risponda a due dei seguenti quesiti</w:t>
      </w:r>
      <w:r w:rsidR="009A3F78" w:rsidRPr="009A3F78">
        <w:rPr>
          <w:rFonts w:ascii="Times New Roman" w:hAnsi="Times New Roman" w:cs="Times New Roman"/>
          <w:b/>
          <w:sz w:val="24"/>
          <w:szCs w:val="24"/>
        </w:rPr>
        <w:t xml:space="preserve">: </w:t>
      </w:r>
    </w:p>
    <w:p w:rsidR="005C2B5B" w:rsidRPr="009A3F78" w:rsidRDefault="009A3F78" w:rsidP="009A3F78">
      <w:pPr>
        <w:jc w:val="both"/>
        <w:rPr>
          <w:rFonts w:ascii="Times New Roman" w:hAnsi="Times New Roman" w:cs="Times New Roman"/>
          <w:sz w:val="24"/>
          <w:szCs w:val="24"/>
        </w:rPr>
      </w:pPr>
      <w:r>
        <w:rPr>
          <w:rFonts w:ascii="Times New Roman" w:hAnsi="Times New Roman" w:cs="Times New Roman"/>
          <w:sz w:val="24"/>
          <w:szCs w:val="24"/>
        </w:rPr>
        <w:t>1. Si spieghi il  s</w:t>
      </w:r>
      <w:r w:rsidR="005C2B5B" w:rsidRPr="009A3F78">
        <w:rPr>
          <w:rFonts w:ascii="Times New Roman" w:hAnsi="Times New Roman" w:cs="Times New Roman"/>
          <w:sz w:val="24"/>
          <w:szCs w:val="24"/>
        </w:rPr>
        <w:t xml:space="preserve">ignificato del  termine anomia in </w:t>
      </w:r>
      <w:proofErr w:type="spellStart"/>
      <w:r w:rsidR="005C2B5B" w:rsidRPr="009A3F78">
        <w:rPr>
          <w:rFonts w:ascii="Times New Roman" w:hAnsi="Times New Roman" w:cs="Times New Roman"/>
          <w:sz w:val="24"/>
          <w:szCs w:val="24"/>
        </w:rPr>
        <w:t>Durkheim</w:t>
      </w:r>
      <w:proofErr w:type="spellEnd"/>
      <w:r>
        <w:rPr>
          <w:rFonts w:ascii="Times New Roman" w:hAnsi="Times New Roman" w:cs="Times New Roman"/>
          <w:sz w:val="24"/>
          <w:szCs w:val="24"/>
        </w:rPr>
        <w:t>.</w:t>
      </w:r>
    </w:p>
    <w:p w:rsidR="005C2B5B" w:rsidRPr="009A3F78" w:rsidRDefault="009A3F78" w:rsidP="009A3F78">
      <w:pPr>
        <w:jc w:val="both"/>
        <w:rPr>
          <w:rFonts w:ascii="Times New Roman" w:hAnsi="Times New Roman" w:cs="Times New Roman"/>
          <w:sz w:val="24"/>
          <w:szCs w:val="24"/>
        </w:rPr>
      </w:pPr>
      <w:r>
        <w:rPr>
          <w:rFonts w:ascii="Times New Roman" w:eastAsia="Calibri" w:hAnsi="Times New Roman" w:cs="Times New Roman"/>
          <w:sz w:val="24"/>
          <w:szCs w:val="24"/>
        </w:rPr>
        <w:t>2. Cosa si intende per devianza e perché è un concetto problematico?</w:t>
      </w:r>
    </w:p>
    <w:p w:rsidR="005C2B5B" w:rsidRPr="009A3F78" w:rsidRDefault="009A3F78" w:rsidP="009A3F78">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 Si spieghi il significato dei concetti di </w:t>
      </w:r>
      <w:r w:rsidR="005C2B5B" w:rsidRPr="009A3F78">
        <w:rPr>
          <w:rFonts w:ascii="Times New Roman" w:eastAsia="Calibri" w:hAnsi="Times New Roman" w:cs="Times New Roman"/>
          <w:i/>
          <w:sz w:val="24"/>
          <w:szCs w:val="24"/>
        </w:rPr>
        <w:t>fondamenta</w:t>
      </w:r>
      <w:r w:rsidRPr="009A3F78">
        <w:rPr>
          <w:rFonts w:ascii="Times New Roman" w:eastAsia="Calibri" w:hAnsi="Times New Roman" w:cs="Times New Roman"/>
          <w:i/>
          <w:sz w:val="24"/>
          <w:szCs w:val="24"/>
        </w:rPr>
        <w:t>lismo</w:t>
      </w:r>
      <w:r>
        <w:rPr>
          <w:rFonts w:ascii="Times New Roman" w:eastAsia="Calibri" w:hAnsi="Times New Roman" w:cs="Times New Roman"/>
          <w:sz w:val="24"/>
          <w:szCs w:val="24"/>
        </w:rPr>
        <w:t xml:space="preserve"> e </w:t>
      </w:r>
      <w:r w:rsidRPr="009A3F78">
        <w:rPr>
          <w:rFonts w:ascii="Times New Roman" w:eastAsia="Calibri" w:hAnsi="Times New Roman" w:cs="Times New Roman"/>
          <w:i/>
          <w:sz w:val="24"/>
          <w:szCs w:val="24"/>
        </w:rPr>
        <w:t>pluralismo religioso</w:t>
      </w:r>
      <w:r>
        <w:rPr>
          <w:rFonts w:ascii="Times New Roman" w:eastAsia="Calibri" w:hAnsi="Times New Roman" w:cs="Times New Roman"/>
          <w:sz w:val="24"/>
          <w:szCs w:val="24"/>
        </w:rPr>
        <w:t>. Come si manifestano oggi il fondamentalismo e il pluralismo religioso?</w:t>
      </w:r>
    </w:p>
    <w:p w:rsidR="005C2B5B" w:rsidRPr="009A3F78" w:rsidRDefault="009A3F78" w:rsidP="009A3F78">
      <w:pPr>
        <w:jc w:val="both"/>
        <w:rPr>
          <w:rFonts w:ascii="Times New Roman" w:hAnsi="Times New Roman" w:cs="Times New Roman"/>
          <w:sz w:val="24"/>
          <w:szCs w:val="24"/>
        </w:rPr>
      </w:pPr>
      <w:r>
        <w:rPr>
          <w:rFonts w:ascii="Times New Roman" w:hAnsi="Times New Roman" w:cs="Times New Roman"/>
          <w:sz w:val="24"/>
          <w:szCs w:val="24"/>
        </w:rPr>
        <w:t xml:space="preserve">4. </w:t>
      </w:r>
      <w:r w:rsidR="006566AC">
        <w:rPr>
          <w:rFonts w:ascii="Times New Roman" w:hAnsi="Times New Roman" w:cs="Times New Roman"/>
          <w:sz w:val="24"/>
          <w:szCs w:val="24"/>
        </w:rPr>
        <w:t>Si scriva la d</w:t>
      </w:r>
      <w:r w:rsidR="005C2B5B" w:rsidRPr="009A3F78">
        <w:rPr>
          <w:rFonts w:ascii="Times New Roman" w:hAnsi="Times New Roman" w:cs="Times New Roman"/>
          <w:sz w:val="24"/>
          <w:szCs w:val="24"/>
        </w:rPr>
        <w:t xml:space="preserve">efinizione di mobilità assoluta e relativa, orizzontale e verticale, intergenerazionale e </w:t>
      </w:r>
      <w:proofErr w:type="spellStart"/>
      <w:r w:rsidR="005C2B5B" w:rsidRPr="009A3F78">
        <w:rPr>
          <w:rFonts w:ascii="Times New Roman" w:hAnsi="Times New Roman" w:cs="Times New Roman"/>
          <w:sz w:val="24"/>
          <w:szCs w:val="24"/>
        </w:rPr>
        <w:t>intragenerazionale</w:t>
      </w:r>
      <w:proofErr w:type="spellEnd"/>
      <w:r w:rsidR="005C2B5B" w:rsidRPr="009A3F78">
        <w:rPr>
          <w:rFonts w:ascii="Times New Roman" w:hAnsi="Times New Roman" w:cs="Times New Roman"/>
          <w:sz w:val="24"/>
          <w:szCs w:val="24"/>
        </w:rPr>
        <w:t>.</w:t>
      </w:r>
    </w:p>
    <w:p w:rsidR="00E70E8E" w:rsidRPr="009A3F78" w:rsidRDefault="00E70E8E" w:rsidP="009A3F78">
      <w:pPr>
        <w:jc w:val="both"/>
        <w:rPr>
          <w:rFonts w:ascii="Times New Roman" w:hAnsi="Times New Roman" w:cs="Times New Roman"/>
          <w:sz w:val="24"/>
          <w:szCs w:val="24"/>
        </w:rPr>
      </w:pPr>
    </w:p>
    <w:sectPr w:rsidR="00E70E8E" w:rsidRPr="009A3F78" w:rsidSect="005D507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A00002EF" w:usb1="4000207B" w:usb2="00000000" w:usb3="00000000" w:csb0="0000009F" w:csb1="00000000"/>
  </w:font>
  <w:font w:name="Cambria">
    <w:altName w:val="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668EE"/>
    <w:multiLevelType w:val="hybridMultilevel"/>
    <w:tmpl w:val="AA5274FC"/>
    <w:lvl w:ilvl="0" w:tplc="A9A480F4">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nsid w:val="34E1585E"/>
    <w:multiLevelType w:val="hybridMultilevel"/>
    <w:tmpl w:val="70CCDE3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E04C7B"/>
    <w:rsid w:val="00187915"/>
    <w:rsid w:val="00390401"/>
    <w:rsid w:val="005C2B5B"/>
    <w:rsid w:val="005D5070"/>
    <w:rsid w:val="006566AC"/>
    <w:rsid w:val="007128DF"/>
    <w:rsid w:val="0093145F"/>
    <w:rsid w:val="009A3F78"/>
    <w:rsid w:val="00A810C7"/>
    <w:rsid w:val="00E04C7B"/>
    <w:rsid w:val="00E70E8E"/>
    <w:rsid w:val="00F5692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D507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810C7"/>
    <w:pPr>
      <w:autoSpaceDE w:val="0"/>
      <w:autoSpaceDN w:val="0"/>
      <w:adjustRightInd w:val="0"/>
      <w:spacing w:after="0" w:line="240" w:lineRule="auto"/>
    </w:pPr>
    <w:rPr>
      <w:rFonts w:ascii="Cambria" w:hAnsi="Cambria" w:cs="Cambria"/>
      <w:color w:val="000000"/>
      <w:sz w:val="24"/>
      <w:szCs w:val="24"/>
    </w:rPr>
  </w:style>
  <w:style w:type="character" w:styleId="Collegamentoipertestuale">
    <w:name w:val="Hyperlink"/>
    <w:basedOn w:val="Carpredefinitoparagrafo"/>
    <w:uiPriority w:val="99"/>
    <w:semiHidden/>
    <w:unhideWhenUsed/>
    <w:rsid w:val="00E70E8E"/>
    <w:rPr>
      <w:color w:val="0000FF"/>
      <w:u w:val="single"/>
    </w:rPr>
  </w:style>
  <w:style w:type="character" w:customStyle="1" w:styleId="apple-converted-space">
    <w:name w:val="apple-converted-space"/>
    <w:basedOn w:val="Carpredefinitoparagrafo"/>
    <w:rsid w:val="00E70E8E"/>
  </w:style>
  <w:style w:type="paragraph" w:styleId="Paragrafoelenco">
    <w:name w:val="List Paragraph"/>
    <w:basedOn w:val="Normale"/>
    <w:uiPriority w:val="34"/>
    <w:qFormat/>
    <w:rsid w:val="007128D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795</Words>
  <Characters>4536</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docentesede</dc:creator>
  <cp:keywords/>
  <dc:description/>
  <cp:lastModifiedBy>docentesede</cp:lastModifiedBy>
  <cp:revision>3</cp:revision>
  <cp:lastPrinted>2018-02-26T12:45:00Z</cp:lastPrinted>
  <dcterms:created xsi:type="dcterms:W3CDTF">2018-02-26T12:35:00Z</dcterms:created>
  <dcterms:modified xsi:type="dcterms:W3CDTF">2018-02-26T12:49:00Z</dcterms:modified>
</cp:coreProperties>
</file>